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42424"/>
          <w:highlight w:val="white"/>
          <w:rtl w:val="0"/>
        </w:rPr>
        <w:t xml:space="preserve">Subject: Letter of Support for the Connect for Health Act of 2023</w:t>
      </w:r>
      <w:r w:rsidDel="00000000" w:rsidR="00000000" w:rsidRPr="00000000">
        <w:rPr>
          <w:rFonts w:ascii="Arial" w:cs="Arial" w:eastAsia="Arial" w:hAnsi="Arial"/>
          <w:color w:val="2424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424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424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42424"/>
          <w:highlight w:val="white"/>
          <w:rtl w:val="0"/>
        </w:rPr>
        <w:t xml:space="preserve">Dear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The Academy of Spinal Cord Injury Professionals </w:t>
      </w: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strongly urges you to co-sponsor S2016/HR4189, the Connect for Health Act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ASCIP is a not-for-profit incorporated association whose mission is to optimize the health and wellness of individuals with spinal cord injury or disorder (SCI/D) through advanced interdisciplinary education, professional development and scientific research.  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Telehealth offers a lifeline for individuals with SCI, improving access to quality care, managing chronic conditions, and reducing unnecessary hospitalizations.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Arial" w:cs="Arial" w:eastAsia="Arial" w:hAnsi="Arial"/>
          <w:b w:val="1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Imagine Randy with a spinal cord injury, living hundreds of miles from his specialist and lives in Alaska. He must take two planes and a boat to travel for appointments so medical appointments are a logistical and financial nightmare. The Connect for Health Act can help Randy and millions of Americans with disabilities achieve individualized optimal mental, social, and physical health.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b w:val="1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The Challenges of Traditional Healthcare for Individuals with SCI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For individuals like Randy, accessing essential healthcare services can be incredibly difficult. These challenges include: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Limited Availability of Specialized Care: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Many areas lack specialized SCI clinicians, forcing patients to travel long distances for appointments.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Geographic Limitations: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Rural residents face additional challenges due to the distance from specialists and lack of accessible public transportation.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Transportation Barriers: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Transportation costs, both financial and time-related, create a significant hurdle for individuals with mobility limitations.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Physical Obstacles: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Many primary care offices are not fully accessible, with issues like parking, ramps, doorways, and exam tables making in-person visits cumbersome and inefficient.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Lack of SCI Knowledge in Primary Care: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Many primary care physicians lack the specialized knowledge required to effectively manage SCI on their own, necessitating specialist involvement.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These factors, combined with the high cost of non-emergency medical transportation, often lead to: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Reduced Patient Follow-Through: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The difficulty and inconvenience of traditional care result in a significant number of patients missing appointments, especially those in rural areas or of minority status.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Increased Hospitalizations: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Delays in care due to missed appointments can lead to costly hospitalizations and potentially irreversible complications.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Quattrocento Sans" w:cs="Quattrocento Sans" w:eastAsia="Quattrocento Sans" w:hAnsi="Quattrocento Sans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Increased Use of Emergency Rooms: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 Difficulty accessing primary care can lead to a reliance on emergency rooms for non-emergent needs, driving up healthcare costs.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Arial" w:cs="Arial" w:eastAsia="Arial" w:hAnsi="Arial"/>
          <w:b w:val="1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The Financial Burden on Taxpayers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It's important to note that over 50% of individuals with SCI rely on Medicare or Medicaid. The challenges outlined above contribute to a significant financial burden on the healthcare system, ultimately impacting taxpayers.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Arial" w:cs="Arial" w:eastAsia="Arial" w:hAnsi="Arial"/>
          <w:b w:val="1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Telehealth as a Solution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Telehealth offers a powerful solution to these challenges. Studies show that telehealth for SCI patients leads to: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Increased patient satisfaction and adherence to treatment plans.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Reduced healthcare costs by minimizing travel and emergency room visits.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Improved quality of life by empowering patients to manage their health from home.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The Connect for Health Act's provisions, such as permanently removing geographic restrictions, will unlock these benefits for countless Americans. This leg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islation aligns perfectly with your commitment to innovation and expanding access to quality healthcare, especially in rural areas.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b w:val="1"/>
          <w:color w:val="0e101a"/>
          <w:rtl w:val="0"/>
        </w:rPr>
        <w:t xml:space="preserve">We urge you to co-sponsor the Connect for Health Act and advocate for its swift passage. Let's work together to ensure Randy, and millions like him, receive the care they deserve.</w:t>
      </w: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   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e101a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242424"/>
          <w:highlight w:val="white"/>
        </w:rPr>
      </w:pPr>
      <w:r w:rsidDel="00000000" w:rsidR="00000000" w:rsidRPr="00000000">
        <w:rPr>
          <w:rFonts w:ascii="Arial" w:cs="Arial" w:eastAsia="Arial" w:hAnsi="Arial"/>
          <w:color w:val="0e101a"/>
          <w:rtl w:val="0"/>
        </w:rPr>
        <w:t xml:space="preserve"> 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242424"/>
          <w:highlight w:val="white"/>
        </w:rPr>
      </w:pPr>
      <w:r w:rsidDel="00000000" w:rsidR="00000000" w:rsidRPr="00000000">
        <w:rPr>
          <w:rFonts w:ascii="Arial" w:cs="Arial" w:eastAsia="Arial" w:hAnsi="Arial"/>
          <w:color w:val="242424"/>
          <w:highlight w:val="white"/>
          <w:rtl w:val="0"/>
        </w:rPr>
        <w:t xml:space="preserve">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242424"/>
          <w:highlight w:val="white"/>
        </w:rPr>
      </w:pPr>
      <w:r w:rsidDel="00000000" w:rsidR="00000000" w:rsidRPr="00000000">
        <w:rPr>
          <w:rFonts w:ascii="Arial" w:cs="Arial" w:eastAsia="Arial" w:hAnsi="Arial"/>
          <w:color w:val="2424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</w:t>
        <w:tab/>
        <w:t xml:space="preserve">McColl MA, Aiken A, Smith K, et al. Actionable Nuggets: Knowledge translation tool for the needs of patients with spinal cord injury.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Canadian Family Physician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2015;61(5):e240-e248.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</w:t>
        <w:tab/>
        <w:t xml:space="preserve">Ecolane. Non-Emergency Medical Transportation (NEMT) Rates. Published February 24, 2024. Accessed February 24, 2024. https://www.ecolane.com/blog/non-emergency-medical-transportation-rates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</w:t>
        <w:tab/>
        <w:t xml:space="preserve">Sechrist S, Lavoie S, Khong CM, Dirlikov B, Shem K. Telemedicine using an iPad in the spinal cord injury population: a utility and patient satisfaction study.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Spinal Cord Ser Cases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2018;4:71. doi:10.1038/s41394-018-0105-4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</w:t>
        <w:tab/>
        <w:t xml:space="preserve">Khong CMM, Pasipanodya EC, Do J, et al. SCiPad: evaluating telemedicine via iPad facetime for general spinal cord injury care.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Spinal Cord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2022;60(5):451-456. doi:10.1038/s41393-022-00790-1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5.</w:t>
        <w:tab/>
        <w:t xml:space="preserve">Kim H, Cutter GR, George B, Chen Y. Understanding and Preventing Loss to Follow-up: Experiences From the Spinal Cord Injury Model Systems.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Top Spinal Cord Inj Rehabil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2018;24(2):97-109. doi:10.1310/sci2402-97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6.</w:t>
        <w:tab/>
        <w:t xml:space="preserve">Parast L, Mathews M, Martino S, Lehrman WG, Stark D, Elliott MN. Racial/Ethnic Differences in Emergency Department Utilization and Experience.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 Gen Intern Med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2022;37(1):49-56. doi:10.1007/s11606-021-06738-0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240" w:before="0" w:line="240" w:lineRule="auto"/>
        <w:ind w:left="264" w:right="0" w:hanging="264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7.</w:t>
        <w:tab/>
        <w:t xml:space="preserve">Guilcher SJT, Craven BC, Calzavara A, McColl MA, Jaglal SB. Is the emergency department an appropriate substitute for primary care for persons with traumatic spinal cord injury?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Spinal Cord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2013;51(3):202-208. doi:10.1038/sc.2012.123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2424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2B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F04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7F0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4F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4F8B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4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24F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24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4F8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4F8B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5121E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 w:val="1"/>
    <w:rsid w:val="00C83865"/>
    <w:pPr>
      <w:tabs>
        <w:tab w:val="left" w:pos="264"/>
      </w:tabs>
      <w:spacing w:after="240" w:line="240" w:lineRule="auto"/>
      <w:ind w:left="264" w:hanging="264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KqTIVmJMZf42U8GWJiTfYcDxOQ==">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2024-04-18T12:48:00Z</dcterms:created>
  <dc:creator>Berliner, Jeffrey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id="PDr6e8Pl"/&gt;&lt;style id="http://www.zotero.org/styles/american-medical-association" hasBibliography="1" bibliographyStyleHasBeenSet="1"/&gt;&lt;prefs&gt;&lt;pref name="fieldType" value="Field"/&gt;&lt;/prefs&gt;&lt;/data&gt;</vt:lpwstr>
  </property>
</Properties>
</file>